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                 «Утверждаю»</w:t>
      </w: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УВР                                                        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Канавка</w:t>
      </w: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                                       ________________________</w:t>
      </w: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/Попова Т.В./                                                      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Сулеменова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Г.А./</w:t>
      </w: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____________г.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/>
          <w:sz w:val="24"/>
          <w:szCs w:val="24"/>
        </w:rPr>
        <w:t>от____________г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F41" w:rsidRPr="00B05B9D" w:rsidRDefault="008A6F41" w:rsidP="008A6F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  <w:r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F41" w:rsidRDefault="008A6F41" w:rsidP="008A6F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уровень </w:t>
      </w:r>
      <w:r>
        <w:rPr>
          <w:rFonts w:ascii="Times New Roman" w:hAnsi="Times New Roman"/>
          <w:sz w:val="28"/>
          <w:szCs w:val="28"/>
          <w:u w:val="single"/>
        </w:rPr>
        <w:t>среднего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образования</w:t>
      </w: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№_________</w:t>
      </w: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F41" w:rsidRDefault="008A6F41" w:rsidP="008A6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уч. г.</w:t>
      </w:r>
    </w:p>
    <w:p w:rsidR="008A6F41" w:rsidRDefault="008A6F41" w:rsidP="008F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82" w:rsidRPr="003C2582" w:rsidRDefault="00A561AE" w:rsidP="008F3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82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D76128" w:rsidRPr="00CC582D" w:rsidRDefault="00D76128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3C2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результатами, </w:t>
      </w:r>
      <w:r w:rsidRPr="00CC582D">
        <w:rPr>
          <w:rFonts w:ascii="Times New Roman" w:hAnsi="Times New Roman" w:cs="Times New Roman"/>
          <w:color w:val="000000"/>
          <w:sz w:val="24"/>
          <w:szCs w:val="24"/>
        </w:rPr>
        <w:t>формируемы</w:t>
      </w:r>
      <w:r w:rsidR="00CC582D" w:rsidRPr="00CC582D">
        <w:rPr>
          <w:rFonts w:ascii="Times New Roman" w:hAnsi="Times New Roman" w:cs="Times New Roman"/>
          <w:color w:val="000000"/>
          <w:sz w:val="24"/>
          <w:szCs w:val="24"/>
        </w:rPr>
        <w:t>ми при изучении предмета</w:t>
      </w:r>
      <w:r w:rsidR="00CC5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82D">
        <w:rPr>
          <w:rFonts w:ascii="Times New Roman" w:hAnsi="Times New Roman" w:cs="Times New Roman"/>
          <w:color w:val="000000"/>
          <w:sz w:val="24"/>
          <w:szCs w:val="24"/>
        </w:rPr>
        <w:t>«Обществознание», являются: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3C2582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2. Заинтересованность не только в личном успехе, но и в благополучии и процветании своей страны;</w:t>
      </w:r>
    </w:p>
    <w:p w:rsidR="008F35B1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3.Ценностные ориентиры:</w:t>
      </w:r>
    </w:p>
    <w:p w:rsidR="008F35B1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снованные</w:t>
      </w:r>
      <w:proofErr w:type="spell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на идеях патриотизма, любви и уважения к Отечеству;</w:t>
      </w:r>
    </w:p>
    <w:p w:rsidR="008F35B1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2582">
        <w:rPr>
          <w:rFonts w:ascii="Times New Roman" w:hAnsi="Times New Roman" w:cs="Times New Roman"/>
          <w:color w:val="000000"/>
          <w:sz w:val="24"/>
          <w:szCs w:val="24"/>
        </w:rPr>
        <w:t>необходимости поддержания гражданского мира и согласия;</w:t>
      </w:r>
    </w:p>
    <w:p w:rsidR="008F35B1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B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3C2582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к человеку, его правам и свободам как высшей ценности;</w:t>
      </w:r>
    </w:p>
    <w:p w:rsidR="008F35B1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укреплению исторически сложившегося государственного единства; </w:t>
      </w:r>
    </w:p>
    <w:p w:rsidR="008F35B1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proofErr w:type="gram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равноправия народов, единства разнообразных культур; </w:t>
      </w:r>
    </w:p>
    <w:p w:rsidR="008F35B1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убежденности в важности для общества семьи и семейных традиций;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осознании</w:t>
      </w:r>
      <w:proofErr w:type="gram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своей ответственности за страну перед нынешними и грядущими поколениями.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C582D">
        <w:rPr>
          <w:rFonts w:ascii="Times New Roman" w:hAnsi="Times New Roman" w:cs="Times New Roman"/>
          <w:b/>
          <w:color w:val="000000"/>
          <w:sz w:val="24"/>
          <w:szCs w:val="24"/>
        </w:rPr>
        <w:t> результаты</w:t>
      </w: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обществознания проявляются </w:t>
      </w:r>
      <w:proofErr w:type="gramStart"/>
      <w:r w:rsidRPr="003C258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25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мение сознательно организовывать свою познавательную деятельность (от постановки цели до получения и оценки результата);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различными видами публичных выступлений (высказывания, монолог, дискуссия) и </w:t>
      </w:r>
      <w:proofErr w:type="gram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этическим нормам и правилам ведения диалога;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элементов </w:t>
      </w:r>
      <w:proofErr w:type="spellStart"/>
      <w:r w:rsidRPr="003C2582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следственного анализа;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исследование несложных реальных связей и зависимостей;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подкрепление изученных положений конкретными примерами;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5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</w:t>
      </w:r>
      <w:r w:rsidRPr="00CC582D">
        <w:rPr>
          <w:rFonts w:ascii="Times New Roman" w:hAnsi="Times New Roman" w:cs="Times New Roman"/>
          <w:b/>
          <w:color w:val="000000"/>
          <w:sz w:val="24"/>
          <w:szCs w:val="24"/>
        </w:rPr>
        <w:t> результатами</w:t>
      </w: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содержания программы по обществознанию являются: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з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х в современном российском обществе социальных ценностей;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6.з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риверженность гуманистическим и демократическим ценностям, патриотизм и гражданственность;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онимание значения трудовой деятельности для личности и общества;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онимание специфики познания мира средствами искусства в соответствии с другими способами познания;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онимание роли искусства в становлении личности и в жизни общества;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з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нание определяющих признаков коммуникативной деятельности в сравнении с другими видами деятельности;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з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76128" w:rsidRPr="003C2582" w:rsidRDefault="008F35B1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п</w:t>
      </w:r>
      <w:r w:rsidR="00D76128" w:rsidRPr="003C2582">
        <w:rPr>
          <w:rFonts w:ascii="Times New Roman" w:hAnsi="Times New Roman" w:cs="Times New Roman"/>
          <w:color w:val="000000"/>
          <w:sz w:val="24"/>
          <w:szCs w:val="24"/>
        </w:rPr>
        <w:t>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D76128" w:rsidRPr="003C2582" w:rsidRDefault="00D76128" w:rsidP="003C25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8F35B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C2582">
        <w:rPr>
          <w:rFonts w:ascii="Times New Roman" w:hAnsi="Times New Roman" w:cs="Times New Roman"/>
          <w:color w:val="000000"/>
          <w:sz w:val="24"/>
          <w:szCs w:val="24"/>
        </w:rPr>
        <w:t>онимание значения коммуникации в межличностном общении;</w:t>
      </w:r>
    </w:p>
    <w:p w:rsidR="00CE580C" w:rsidRPr="003C2582" w:rsidRDefault="00CE580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CE580C" w:rsidRPr="00CC582D" w:rsidRDefault="00CE580C" w:rsidP="003C2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82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Человек. Человек в системе общественных отношений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черты социальной сущности человека;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роль духовных ценностей в обществе;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распознавать формы культуры по их признакам, иллюстрировать их примерами;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виды искусства;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соотносить поступки и отношения с принятыми нормами морали;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сущностные характеристики религ</w:t>
      </w:r>
      <w:proofErr w:type="gramStart"/>
      <w:r w:rsidR="00CE580C" w:rsidRPr="003C258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 xml:space="preserve"> роль в культурной жизни;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связь между мышлением и деятельностью;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и соотносить цели, средства и результаты деятельности;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особенности научного познания;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абсолютную и относительную истины;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CE580C" w:rsidRPr="003C2582" w:rsidRDefault="00CE580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приводить примеры прогрессивных и регрессивных общественных изменений,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>ргументировать свои суждения, выводы;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формулировать собственные суждения о сущности, причинах и последствиях глобализации;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>ллюстрировать проявления различных глобальных проблем.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взаимосвязь экономики с другими сферами жизни общества;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формы бизнеса;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экономические и бухгалтерские издержки;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приводить примеры постоянных и переменных издержек производства;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причины безработицы, различать ее виды;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и сравнивать пути достижения экономического роста.</w:t>
      </w:r>
    </w:p>
    <w:p w:rsidR="00CE580C" w:rsidRPr="003C2582" w:rsidRDefault="00CE580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Социальные отношения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критерии социальной стратификации;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конкретизировать примерами виды социальных норм;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виды социальной мобильности, конкретизировать примерами;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 xml:space="preserve">выделять причины и последствия </w:t>
      </w:r>
      <w:proofErr w:type="spellStart"/>
      <w:r w:rsidRPr="003C2582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3C2582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формулировать выводы о роли религиозных организаций в жизни современного общества</w:t>
      </w:r>
      <w:proofErr w:type="gramStart"/>
      <w:r w:rsidR="00CE580C" w:rsidRPr="003C2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>объяснять сущность свободы совести, сущность и значение веротерпимости;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 xml:space="preserve">ешать познавательные и проблемные задачи; 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CE580C" w:rsidRPr="003C2582" w:rsidRDefault="00CE580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Политика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политическую власть и другие виды власти;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роль и функции политической системы;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демократическую избирательную систему;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конкретизировать примерами роль политической идеологии;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на примерах функционирование различных партийных систем;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роль СМИ в современной политической жизни;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иллюстрировать примерами основные этапы политического процесса;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E580C" w:rsidRPr="003C2582" w:rsidRDefault="00CE580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Правовое регулирование общественных отношений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Сравнивать правовые нормы с другими социальными нормами;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основные элементы системы права;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выстраивать иерархию нормативных актов;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обосновывать взаимосвязь между правами и обязанностями человека и гражданина,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>ыражать собственное отношение к лицам, уклоняющимся от выполнения конституционных обязанностей;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содержание гражданских правоотношений;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организационно-правовые формы предприятий;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порядок рассмотрения гражданских споров;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CE580C" w:rsidRPr="00CC582D" w:rsidRDefault="00CE580C" w:rsidP="003C2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82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  <w:highlight w:val="white"/>
        </w:rPr>
        <w:t>Человек. Человек в системе общественных отношений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о социальных ценностях и нормах в повседневной жизни,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580C" w:rsidRPr="003C2582">
        <w:rPr>
          <w:rFonts w:ascii="Times New Roman" w:hAnsi="Times New Roman" w:cs="Times New Roman"/>
          <w:sz w:val="24"/>
          <w:szCs w:val="24"/>
        </w:rPr>
        <w:t>рогнозировать последствия принимаемых решений;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разнообразные явления и процессы общественного развития;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основные методы научного познания;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особенности социального познания;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типы мировоззрений;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Экономика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и формулировать характерные особенности рыночных структур;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противоречия рынка;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роль и место фондового рынка в рыночных структурах;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возможности финансирования малых и крупных фирм;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обосновывать выбор форм бизнеса в конкретных ситуациях;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различать источники финансирования малых и крупных предприятий;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практическое назначение основных функций менеджмента;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определять место маркетинга в деятельности организации;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CE580C" w:rsidRPr="003C2582" w:rsidRDefault="00CC582D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свои возможности трудоустройства в условиях рынка труда;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раскрывать фазы экономического цикла;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lastRenderedPageBreak/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Политика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выделять основные этапы избирательной кампании;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в перспективе осознанно участвовать в избирательных кампаниях;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особенности политического процесса в России;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анализировать основные тенденции современного политического процесса.</w:t>
      </w:r>
    </w:p>
    <w:p w:rsidR="00CE580C" w:rsidRPr="003C2582" w:rsidRDefault="00CE580C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ориентироваться в предпринимательских правоотношениях;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CE580C" w:rsidRPr="003C2582" w:rsidRDefault="008F35B1" w:rsidP="003C2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580C" w:rsidRPr="003C2582">
        <w:rPr>
          <w:rFonts w:ascii="Times New Roman" w:hAnsi="Times New Roman" w:cs="Times New Roman"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5A653C" w:rsidRPr="008F35B1" w:rsidRDefault="005A653C" w:rsidP="008F35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501744973"/>
      <w:r w:rsidRPr="008F3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  <w:r w:rsidR="008F3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курса</w:t>
      </w:r>
    </w:p>
    <w:bookmarkEnd w:id="1"/>
    <w:p w:rsidR="005A653C" w:rsidRPr="008F35B1" w:rsidRDefault="005A653C" w:rsidP="003C25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5B1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5A653C" w:rsidRPr="003C2582" w:rsidRDefault="005A653C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Человек. Человек в системе общественных отношений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="008F3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Функции образования как социального института. Общественная значимость и личностный смысл образования.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5A653C" w:rsidRPr="003C2582" w:rsidRDefault="005A653C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3C2582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3C2582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proofErr w:type="gramStart"/>
      <w:r w:rsidRPr="003C258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C2582">
        <w:rPr>
          <w:rFonts w:ascii="Times New Roman" w:eastAsia="Times New Roman" w:hAnsi="Times New Roman" w:cs="Times New Roman"/>
          <w:sz w:val="24"/>
          <w:szCs w:val="24"/>
        </w:rPr>
        <w:t>роцессы</w:t>
      </w:r>
      <w:proofErr w:type="spellEnd"/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 Основы маркетинга.</w:t>
      </w:r>
      <w:r w:rsidR="009B23EA"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Финансовый рынок.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показатели.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рост.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5A653C" w:rsidRPr="003C2582" w:rsidRDefault="005A653C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Социальные отношения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C2582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3C2582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="00697687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582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="009B23EA"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Проблема неполных семей.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5A653C" w:rsidRPr="003C2582" w:rsidRDefault="005A653C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Политика</w:t>
      </w:r>
    </w:p>
    <w:p w:rsidR="005A653C" w:rsidRPr="003C2582" w:rsidRDefault="005A653C" w:rsidP="003C258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3C2582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</w:t>
      </w:r>
      <w:r w:rsidR="009B23EA"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</w:p>
    <w:p w:rsidR="005A653C" w:rsidRPr="003C2582" w:rsidRDefault="005A653C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FE7C76" w:rsidRDefault="005A653C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государства.</w:t>
      </w:r>
      <w:r w:rsidR="009B23EA"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Экологическое право.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="009B23EA" w:rsidRPr="003C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предприятий.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3C2582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3C2582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C76" w:rsidRDefault="00FE7C76" w:rsidP="00FE7C7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41AF" w:rsidRPr="00FE7C76" w:rsidRDefault="007C41AF" w:rsidP="00FE7C7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3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 с указанием количества часов,</w:t>
      </w:r>
    </w:p>
    <w:p w:rsidR="00D25A1F" w:rsidRPr="008F35B1" w:rsidRDefault="007C41AF" w:rsidP="00FE7C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F3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8F3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  <w:bookmarkStart w:id="2" w:name="_Toc236786309"/>
      <w:bookmarkEnd w:id="2"/>
    </w:p>
    <w:tbl>
      <w:tblPr>
        <w:tblW w:w="9474" w:type="dxa"/>
        <w:jc w:val="center"/>
        <w:tblCellSpacing w:w="0" w:type="dxa"/>
        <w:tblInd w:w="34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28"/>
        <w:gridCol w:w="7170"/>
        <w:gridCol w:w="1476"/>
      </w:tblGrid>
      <w:tr w:rsidR="003C2582" w:rsidRPr="003C2582" w:rsidTr="003C2582">
        <w:trPr>
          <w:trHeight w:val="855"/>
          <w:tblCellSpacing w:w="0" w:type="dxa"/>
          <w:jc w:val="center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7C76" w:rsidRPr="003C2582" w:rsidRDefault="00FE7C76" w:rsidP="00FE7C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C258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C2582" w:rsidRPr="003C2582" w:rsidTr="00FE7C76">
        <w:tblPrEx>
          <w:tblCellSpacing w:w="-8" w:type="dxa"/>
        </w:tblPrEx>
        <w:trPr>
          <w:trHeight w:val="298"/>
          <w:tblCellSpacing w:w="-8" w:type="dxa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128" w:rsidRPr="003C2582" w:rsidTr="003C2582">
        <w:tblPrEx>
          <w:tblCellSpacing w:w="-8" w:type="dxa"/>
        </w:tblPrEx>
        <w:trPr>
          <w:trHeight w:val="685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6128" w:rsidRPr="003C2582" w:rsidRDefault="00D76128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6128" w:rsidRPr="003C2582" w:rsidRDefault="00D76128" w:rsidP="00FE7C7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  (70ч)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6128" w:rsidRPr="003C2582" w:rsidRDefault="00D76128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D1ABF" w:rsidRPr="003C2582" w:rsidTr="003C2582">
        <w:tblPrEx>
          <w:tblCellSpacing w:w="-8" w:type="dxa"/>
        </w:tblPrEx>
        <w:trPr>
          <w:trHeight w:val="375"/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ABF" w:rsidRPr="003C2582" w:rsidRDefault="005D1ABF" w:rsidP="003C258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I. Социальные – гуманитарные знания и п</w:t>
            </w:r>
            <w:r w:rsidR="00875560" w:rsidRPr="003C2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рофессиональная деятельность (11</w:t>
            </w:r>
            <w:r w:rsidRPr="003C2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243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Наука и философия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243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Наука и философия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FE7C76">
        <w:tblPrEx>
          <w:tblCellSpacing w:w="-8" w:type="dxa"/>
        </w:tblPrEx>
        <w:trPr>
          <w:trHeight w:val="631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и общество в ранних мифах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первых философских учениях </w:t>
            </w:r>
          </w:p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5560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75560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Человек и общество в ранних мифах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первых философских учениях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5560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 и общественные на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уки в </w:t>
            </w:r>
            <w:proofErr w:type="gramStart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</w:t>
            </w:r>
            <w:proofErr w:type="gram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Новейшее время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 и общественные на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уки в </w:t>
            </w:r>
            <w:proofErr w:type="gramStart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</w:t>
            </w:r>
            <w:proofErr w:type="gram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Новейшее время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 истории русской философской мысли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 истории русской философской мысли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 в социально – гуманитарной сфере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профессиональный выбор </w:t>
            </w: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813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 в социально – гуманитарной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сфере и профессиональный выбор </w:t>
            </w:r>
          </w:p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Повторение: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pacing w:val="45"/>
                <w:sz w:val="24"/>
                <w:szCs w:val="24"/>
              </w:rPr>
              <w:t>Социально – гуманитарные знания и профессиональная деятельность с.69 вопросы и задания к главе I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91479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5D1AB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Глава II. Общество и человек (19 ч)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Происхождение чел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овека и становление общества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06CB" w:rsidRPr="003C2582" w:rsidRDefault="007E06C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06CB" w:rsidRPr="003C2582" w:rsidRDefault="007E06C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Происхождение человека и становл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ение общества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06CB" w:rsidRPr="003C2582" w:rsidRDefault="007E06CB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Сущность чел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овека как проблема философии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Сущность чел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овека как проблема философии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EF4BC6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 и общественные отношения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 и общественные отношения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EF4BC6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 как развивающаяся система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развивающаяся система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75560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F4BC6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Типология обществ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75560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Типология обществ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EF4BC6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Историческое развитие человечества: пои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ски </w:t>
            </w:r>
            <w:proofErr w:type="gramStart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gram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макротеории</w:t>
            </w:r>
            <w:proofErr w:type="spell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Историческое  развитие человечества: поиски </w:t>
            </w:r>
            <w:proofErr w:type="gramStart"/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циальной</w:t>
            </w:r>
            <w:proofErr w:type="gram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макротеории</w:t>
            </w:r>
            <w:proofErr w:type="spellEnd"/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4BC6" w:rsidRPr="003C2582" w:rsidRDefault="00EF4BC6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302D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Исторический процесс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Исторический процесс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302D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  общественного прогресса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  общественного прогресса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302D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ода в деятельности человека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Свобода в деятельно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сти человека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Повторение: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Общество и человек с. 166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pacing w:val="45"/>
                <w:sz w:val="24"/>
                <w:szCs w:val="24"/>
              </w:rPr>
              <w:t xml:space="preserve">вопросы и задания к главе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pacing w:val="45"/>
                <w:sz w:val="24"/>
                <w:szCs w:val="24"/>
                <w:lang w:val="en-US"/>
              </w:rPr>
              <w:t>II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D1ABF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D1ABF" w:rsidRPr="003C2582" w:rsidRDefault="005D1AB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III. Деятельность как способ существования людей (9 ч)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302D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сть людей и её многообразие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сть людей и её многообразие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772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302D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и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духовной деятельности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rHeight w:val="772"/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и 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духовной деятельности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2D34" w:rsidRPr="003C2582" w:rsidRDefault="00302D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="00766F34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66F34" w:rsidRPr="003C2582" w:rsidRDefault="00766F34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4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Трудовая деятельность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4" w:rsidRPr="003C2582" w:rsidRDefault="00766F34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деятельность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Политическая деятельность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Повторение: Деятельность как способ существования людей с. 215 вопросы и задания к главе III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C51BC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51BC" w:rsidRPr="003C2582" w:rsidRDefault="008C51BC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Глава IV</w:t>
            </w:r>
            <w:r w:rsidR="00A52C63"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Сознание и познание (15 ч)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  <w:r w:rsidR="00891479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роблема познаваемости мира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Проблема познаваемости мира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891479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Истина и ее критерии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Истина и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ее критерии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="00891479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образие путей познания мира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образие путей познания мира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1479" w:rsidRPr="003C2582" w:rsidRDefault="00891479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2C63" w:rsidRPr="003C2582" w:rsidTr="003C2582">
        <w:tblPrEx>
          <w:tblCellSpacing w:w="-8" w:type="dxa"/>
        </w:tblPrEx>
        <w:trPr>
          <w:trHeight w:val="35"/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="00A52C63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Научное познание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Научное познание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="00A52C63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Социальное  познание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Социальное  познание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и сознан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FE7C76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и сознание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  <w:r w:rsidR="00A52C63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Самопо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знание и развитие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Самоп</w:t>
            </w:r>
            <w:r w:rsidR="00FE7C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ознание и развитие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FE7C76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Повторение: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Сознание и познание с. 289 </w:t>
            </w: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 и задания к главе I</w:t>
            </w: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2C63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2C63" w:rsidRPr="003C2582" w:rsidRDefault="00A52C63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Глава V. Личность. Межличностные отношения</w:t>
            </w:r>
            <w:r w:rsidR="00FF673D"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(17 ч)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  <w:r w:rsidR="0063420A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Индивид, индивидуальность, личность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673D" w:rsidRPr="003C2582" w:rsidRDefault="00FF673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673D" w:rsidRPr="003C2582" w:rsidRDefault="0063420A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Индивид, индивидуальность, личность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F673D" w:rsidRPr="003C2582" w:rsidRDefault="0063420A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  <w:r w:rsidR="0060761D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и становление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20A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20A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Возраст и становление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20A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Направленность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Направленность личности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  <w:r w:rsidR="0060761D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A1F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Общение как обмен информацией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Общение как обмен информацией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761D" w:rsidRPr="003C2582" w:rsidRDefault="0060761D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Общение как понимание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Малые группы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Групповая сплоченность и конформное поведение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Групповая дифференциация и лидерство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Семья как малая группа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Антисоциальные и криминальные молодежные группы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97D8B"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Конфликт в межличностных отношениях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2582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E97D8B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Повторение: </w:t>
            </w: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Личность. Межличностные отношения с.413 </w:t>
            </w: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и задания к главе </w:t>
            </w: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5A1F" w:rsidRPr="003C2582" w:rsidRDefault="00D25A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blPrEx>
          <w:tblCellSpacing w:w="-8" w:type="dxa"/>
        </w:tblPrEx>
        <w:trPr>
          <w:tblCellSpacing w:w="-8" w:type="dxa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4F1F" w:rsidRPr="003C2582" w:rsidRDefault="003C4F1F" w:rsidP="003C258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4F1F" w:rsidRPr="003C2582" w:rsidRDefault="003C4F1F" w:rsidP="008F35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класс (68ч)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C4F1F" w:rsidRPr="003C2582" w:rsidRDefault="003C4F1F" w:rsidP="003C2582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25A1F" w:rsidRPr="003C2582" w:rsidRDefault="003C2582" w:rsidP="003C25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25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Тема 1. Экономическая жизнь общества. 14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6"/>
        <w:gridCol w:w="7019"/>
        <w:gridCol w:w="1672"/>
      </w:tblGrid>
      <w:tr w:rsidR="003C4F1F" w:rsidRPr="003C2582" w:rsidTr="003C2582">
        <w:trPr>
          <w:trHeight w:val="649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экономики в жизни общества.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rPr>
          <w:trHeight w:val="649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наука и хозяйство.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Рынок и его роль в экономической жизни.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Рынок и его роль в экономической жизни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Роль фирм в экономике.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Правовые формы  и правовой режим предпринимательской деятельности.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Правовые формы  и правовой режим предпринимательской деятельности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 успеха в бизнесе.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в экономике.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в экономике.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Глобальные проблемы экономики.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Мировая экономика. Глобальные проблемы экономики.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Рациональное  экономическое поведение  потребителя. Защита прав потребителя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Рациональное  экономическое поведение  потребителя. Защита прав потребителя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"Экономика"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"Экономика"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по разделу "Экономика"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по разделу "Экономика"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Семья и быт.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2582"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"Социальная сфера".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"Социальная сфера".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по разделу "Социальная сфера".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по разделу "Социальная сфера".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Тема 3. Политическая жизнь общества. 11 часов.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 Политическая жизнь общества».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Повторение раздела " Политическая жизнь общества».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по разделу "Политическая жизнь общества".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4F1F" w:rsidRPr="003C2582" w:rsidTr="003C2582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в форме ЕГЭ.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F" w:rsidRPr="003C2582" w:rsidRDefault="003C4F1F" w:rsidP="003C2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C4F1F" w:rsidRPr="003C2582" w:rsidRDefault="003C4F1F" w:rsidP="003C25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C25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4F1F" w:rsidRPr="003C2582" w:rsidRDefault="003C4F1F" w:rsidP="003C25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A653C" w:rsidRPr="0064273F" w:rsidRDefault="005A653C" w:rsidP="003C258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sectPr w:rsidR="005A653C" w:rsidRPr="0064273F" w:rsidSect="00A561AE">
          <w:footerReference w:type="default" r:id="rId8"/>
          <w:pgSz w:w="11906" w:h="16838"/>
          <w:pgMar w:top="1134" w:right="567" w:bottom="1134" w:left="1701" w:header="708" w:footer="545" w:gutter="0"/>
          <w:cols w:space="708"/>
          <w:titlePg/>
          <w:docGrid w:linePitch="381"/>
        </w:sectPr>
      </w:pPr>
    </w:p>
    <w:p w:rsidR="00CC582D" w:rsidRDefault="00CC582D" w:rsidP="003C2582">
      <w:pPr>
        <w:spacing w:after="0"/>
      </w:pPr>
    </w:p>
    <w:sectPr w:rsidR="00CC582D" w:rsidSect="0047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E4" w:rsidRDefault="003D45E4" w:rsidP="00470B31">
      <w:pPr>
        <w:spacing w:after="0" w:line="240" w:lineRule="auto"/>
      </w:pPr>
      <w:r>
        <w:separator/>
      </w:r>
    </w:p>
  </w:endnote>
  <w:endnote w:type="continuationSeparator" w:id="0">
    <w:p w:rsidR="003D45E4" w:rsidRDefault="003D45E4" w:rsidP="0047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2D" w:rsidRDefault="00CC582D">
    <w:pPr>
      <w:pStyle w:val="a4"/>
      <w:jc w:val="center"/>
    </w:pPr>
    <w:r w:rsidRPr="00391854">
      <w:rPr>
        <w:rFonts w:ascii="Times New Roman" w:hAnsi="Times New Roman"/>
      </w:rPr>
      <w:fldChar w:fldCharType="begin"/>
    </w:r>
    <w:r w:rsidRPr="00391854">
      <w:rPr>
        <w:rFonts w:ascii="Times New Roman" w:hAnsi="Times New Roman"/>
      </w:rPr>
      <w:instrText>PAGE   \* MERGEFORMAT</w:instrText>
    </w:r>
    <w:r w:rsidRPr="00391854">
      <w:rPr>
        <w:rFonts w:ascii="Times New Roman" w:hAnsi="Times New Roman"/>
      </w:rPr>
      <w:fldChar w:fldCharType="separate"/>
    </w:r>
    <w:r w:rsidR="008A6F41">
      <w:rPr>
        <w:rFonts w:ascii="Times New Roman" w:hAnsi="Times New Roman"/>
        <w:noProof/>
      </w:rPr>
      <w:t>2</w:t>
    </w:r>
    <w:r w:rsidRPr="00391854">
      <w:rPr>
        <w:rFonts w:ascii="Times New Roman" w:hAnsi="Times New Roman"/>
      </w:rPr>
      <w:fldChar w:fldCharType="end"/>
    </w:r>
  </w:p>
  <w:p w:rsidR="00CC582D" w:rsidRDefault="00CC582D">
    <w:pPr>
      <w:pStyle w:val="a4"/>
      <w:tabs>
        <w:tab w:val="clear" w:pos="9355"/>
        <w:tab w:val="right" w:pos="9329"/>
      </w:tabs>
      <w:jc w:val="right"/>
    </w:pPr>
  </w:p>
  <w:p w:rsidR="00CC582D" w:rsidRDefault="00CC582D" w:rsidP="00CC5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E4" w:rsidRDefault="003D45E4" w:rsidP="00470B31">
      <w:pPr>
        <w:spacing w:after="0" w:line="240" w:lineRule="auto"/>
      </w:pPr>
      <w:r>
        <w:separator/>
      </w:r>
    </w:p>
  </w:footnote>
  <w:footnote w:type="continuationSeparator" w:id="0">
    <w:p w:rsidR="003D45E4" w:rsidRDefault="003D45E4" w:rsidP="0047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0"/>
    <w:rsid w:val="00044524"/>
    <w:rsid w:val="00302D34"/>
    <w:rsid w:val="00387FDD"/>
    <w:rsid w:val="003C2582"/>
    <w:rsid w:val="003C4F1F"/>
    <w:rsid w:val="003D45E4"/>
    <w:rsid w:val="00470B31"/>
    <w:rsid w:val="00482FE3"/>
    <w:rsid w:val="00576E60"/>
    <w:rsid w:val="005A653C"/>
    <w:rsid w:val="005D1ABF"/>
    <w:rsid w:val="0060761D"/>
    <w:rsid w:val="0063420A"/>
    <w:rsid w:val="0064273F"/>
    <w:rsid w:val="00697687"/>
    <w:rsid w:val="00766F34"/>
    <w:rsid w:val="007B479D"/>
    <w:rsid w:val="007C41AF"/>
    <w:rsid w:val="007E06CB"/>
    <w:rsid w:val="00863DB0"/>
    <w:rsid w:val="00875560"/>
    <w:rsid w:val="00891479"/>
    <w:rsid w:val="008A6F41"/>
    <w:rsid w:val="008C51BC"/>
    <w:rsid w:val="008F35B1"/>
    <w:rsid w:val="00972020"/>
    <w:rsid w:val="009A4E78"/>
    <w:rsid w:val="009B23EA"/>
    <w:rsid w:val="00A52C63"/>
    <w:rsid w:val="00A561AE"/>
    <w:rsid w:val="00AA6E44"/>
    <w:rsid w:val="00B36A3A"/>
    <w:rsid w:val="00CC582D"/>
    <w:rsid w:val="00CE580C"/>
    <w:rsid w:val="00CF4FAC"/>
    <w:rsid w:val="00D25A1F"/>
    <w:rsid w:val="00D76128"/>
    <w:rsid w:val="00D90F1C"/>
    <w:rsid w:val="00E0609A"/>
    <w:rsid w:val="00E97D8B"/>
    <w:rsid w:val="00EE2BE9"/>
    <w:rsid w:val="00EF4BC6"/>
    <w:rsid w:val="00FE7C76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0B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64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64273F"/>
  </w:style>
  <w:style w:type="paragraph" w:customStyle="1" w:styleId="a">
    <w:name w:val="Перечень"/>
    <w:basedOn w:val="a0"/>
    <w:next w:val="a0"/>
    <w:link w:val="a6"/>
    <w:qFormat/>
    <w:rsid w:val="00CF4F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CF4FA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rmal (Web)"/>
    <w:basedOn w:val="a0"/>
    <w:uiPriority w:val="99"/>
    <w:semiHidden/>
    <w:unhideWhenUsed/>
    <w:rsid w:val="00D7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16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ЗС</cp:lastModifiedBy>
  <cp:revision>17</cp:revision>
  <dcterms:created xsi:type="dcterms:W3CDTF">2018-10-15T07:10:00Z</dcterms:created>
  <dcterms:modified xsi:type="dcterms:W3CDTF">2019-01-29T11:12:00Z</dcterms:modified>
</cp:coreProperties>
</file>